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12 vom 14. Juni 2022</w:t>
      </w:r>
    </w:p>
    <w:p>
      <w:r>
        <w:t>GR Gerichte, 2022-06-14, DE</w:t>
      </w:r>
    </w:p>
    <w:p>
      <w:r>
        <w:rPr>
          <w:b/>
        </w:rPr>
        <w:t xml:space="preserve">Quelle: </w:t>
      </w:r>
      <w:r>
        <w:t>https://mcp.opencaselaw.ch/entscheid/gr_gerichte_SK2 2022 12</w:t>
      </w:r>
    </w:p>
    <w:p>
      <w:r>
        <w:t>FR: GR_GERICHTE SK2 2022 12 du 14 juin 2022</w:t>
      </w:r>
    </w:p>
    <w:p>
      <w:r>
        <w:t>IT: GR_GERICHTE SK2 2022 12 del 14 giugno 2022</w:t>
      </w:r>
    </w:p>
    <w:p>
      <w:pPr>
        <w:pStyle w:val="Heading2"/>
      </w:pPr>
      <w:r>
        <w:t>Regeste</w:t>
      </w:r>
    </w:p>
    <w:p>
      <w:r>
        <w:t>Amtsmissbrauch etc. | Beschwerde gegen StA, Nichtanhandnahmeverfügung StPO 310 (früher Ablehnungsverfügung)</w:t>
      </w:r>
    </w:p>
    <w:p>
      <w:pPr>
        <w:pStyle w:val="Heading2"/>
      </w:pPr>
      <w:r>
        <w:t>Erwägungen</w:t>
      </w:r>
    </w:p>
    <w:p>
      <w:r>
        <w:rPr>
          <w:b/>
        </w:rPr>
        <w:t>E. 1</w:t>
      </w:r>
    </w:p>
    <w:p>
      <w:r>
        <w:t>Gegen Nichtanhandnahmeverfügungen der Staatsanwaltschaft kann gemäss Art. 310 Abs. 2, Art. 322 Abs. 2 sowie Art. 393 Abs. 1 lit. a StPO in Ver- bindung mit Art. 22 EGzStPO (BR 350.100) beim Kantonsgericht Beschwerde er- hoben werden. Die Beurteilung fällt in die Zuständigkeit der II. Strafkammer (Art. 22 EGzStPO; Art. 10 Abs. 1 KGV [BR 173.110]). Die Beschwerdefrist beträgt 10 Tage (Art. 310 Abs. 2 i.V.m. Art. 322 Abs. 2 StPO; Art. 396 Abs. 1 StPO). Die Be- schwerde gegen die Nichtanhandnahmeverfügung der Staatsanwaltschaft vom 25. Februar 2022 wurde mit Eingabe vom 7. März 2022 fristgerecht beim Kan- tonsgericht eingereicht. 2.1. Gemäss Art. 383 Abs. 1 StPO kann die Verfahrensleitung der Rechtsmittel- instanz die Privatklägerschaft verpflichten, innert einer Frist für allfällige Kosten und Entschädigungen Sicherheit zu leisten. Art. 136 StPO betreffend die unent- geltliche Rechtspflege für die Privatklägerschaft bleibt vorbehalten. Wird die Si- cherheit nicht fristgerecht geleistet, so tritt die Rechtsmittelinstanz auf das Rechtsmittel nicht ein (Art. 383 Abs. 2 StPO). 2.2. Mit Verfügung vom 23. Mai 2022 hat der Vorsitzende der II. Strafkammer, welcher das vorliegende Verfahren leitet (vgl. Art. 9 Abs. 1 GOG [BR 173.000]), den Beschwerdeführer zur Leistung einer Sicherheit in der Höhe von CHF 1'500.00 aufgefordert, unter Androhung, dass auf das Rechtsmittel nicht ein- getreten werde, wenn die eingeforderte Sicherheit nicht fristgerecht geleistet wer- de (act. D.5). Da dem Beschwerdeführer die unentgeltliche Rechtspflege im Sinne von Art. 136 StPO mangels eines entsprechenden Antrages nicht gewährt wurde, war die Verpflichtung zur Leistung einer Sicherheit grundsätzlich zulässig. Daran ändert auch der Umstand nichts, dass der Beschwerdeführer ein Rechtsmittel im Strafpunkt und nicht im Zivilpunkt erhoben hat. Gemäss bundesgerichtlicher Rechtsprechung ist die Sicherheitsleistung nach Art. 383 Abs. 1 StPO an keine Voraussetzungen gebunden, und zwar unbesehen der Frage, ob die Privatkläger- schaft ein Rechtsmittel einzig im Strafpunkt oder auch im Zivilpunkt erhebt (BGE 144 IV 17 E. 2.1 m.w.H.; bestätigt in BGer 6B_1144/2020, 6B_1145/2020 v. 12.4.2021 E. 5.1). Die Auferlegung einer Sicherheitsleistung bedarf daher auch keiner besonderen Begründung, solange die verlangte Sicherheitsleistung den Verhältnissen des konkreten Falls angemessen ist (BGer 1B_398/2015</w:t>
      </w:r>
    </w:p>
    <w:p>
      <w:r>
        <w:rPr>
          <w:b/>
        </w:rPr>
        <w:t>E. 4</w:t>
      </w:r>
    </w:p>
    <w:p>
      <w:r>
        <w:t>Aufgrund der offensichtlichen Unzulässigkeit der Beschwerde erfolgt die vorliegende Entscheidung in einzelrichterlicher Kompetenz durch den Vorsitzen- den (Art. 18 Abs. 3 GOG; Art. 11 Abs. 2 KGV [BR 173.100]).</w:t>
      </w:r>
    </w:p>
    <w:p>
      <w:r>
        <w:rPr>
          <w:b/>
        </w:rPr>
        <w:t>E. 5</w:t>
      </w:r>
    </w:p>
    <w:p>
      <w:r>
        <w:t>/ 6 ner auf die Einreichung einer Stellungnahme verzichtet haben (vgl. act. A.2, A.3 und A.4), sind keine Parteientschädigungen zuzusprechen.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